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>
      <w:pPr>
        <w:spacing w:before="0" w:after="0"/>
        <w:rPr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MASTERS OF MASS TORT: MASS TORT SPEED SESSION</w:t>
      </w:r>
    </w:p>
    <w:p>
      <w:pPr>
        <w:spacing w:before="0" w:after="0"/>
      </w:pPr>
    </w:p>
    <w:p>
      <w:pPr>
        <w:spacing w:before="0" w:after="0"/>
      </w:pPr>
      <w:r>
        <w:rPr>
          <w:rFonts w:ascii="Calibri" w:eastAsia="Calibri" w:hAnsi="Calibri" w:cs="Calibri"/>
          <w:b/>
          <w:bCs/>
        </w:rPr>
        <w:t>NAME OF LITIGATION:</w:t>
      </w:r>
      <w:r>
        <w:rPr>
          <w:rFonts w:ascii="Calibri" w:eastAsia="Calibri" w:hAnsi="Calibri" w:cs="Calibri"/>
        </w:rPr>
        <w:t xml:space="preserve"> Bard Hernia Mesh</w:t>
      </w:r>
      <w:r>
        <w:rPr>
          <w:rFonts w:ascii="Calibri" w:eastAsia="Calibri" w:hAnsi="Calibri" w:cs="Calibri"/>
        </w:rPr>
        <w:t xml:space="preserve"> MDL 2846</w:t>
      </w:r>
    </w:p>
    <w:p>
      <w:pPr>
        <w:spacing w:before="0" w:after="0"/>
      </w:pPr>
    </w:p>
    <w:p>
      <w:pPr>
        <w:spacing w:before="0" w:after="0"/>
      </w:pPr>
      <w:r>
        <w:rPr>
          <w:rFonts w:ascii="Calibri" w:eastAsia="Calibri" w:hAnsi="Calibri" w:cs="Calibri"/>
          <w:b/>
          <w:bCs/>
        </w:rPr>
        <w:t xml:space="preserve">A BREIF SUMMARY: </w:t>
      </w:r>
      <w:r>
        <w:rPr>
          <w:rFonts w:ascii="Calibri" w:eastAsia="Calibri" w:hAnsi="Calibri" w:cs="Calibri"/>
          <w:sz w:val="22"/>
          <w:szCs w:val="22"/>
        </w:rPr>
        <w:t xml:space="preserve">The JPML consolidated all Bard polypropylene hernia mesh claims into the Southern District of Ohio in front of Chief Judge </w:t>
      </w:r>
      <w:r>
        <w:rPr>
          <w:rFonts w:ascii="Calibri" w:eastAsia="Calibri" w:hAnsi="Calibri" w:cs="Calibri"/>
          <w:sz w:val="22"/>
          <w:szCs w:val="22"/>
        </w:rPr>
        <w:t>Sargus</w:t>
      </w:r>
      <w:r>
        <w:rPr>
          <w:rFonts w:ascii="Calibri" w:eastAsia="Calibri" w:hAnsi="Calibri" w:cs="Calibri"/>
          <w:sz w:val="22"/>
          <w:szCs w:val="22"/>
        </w:rPr>
        <w:t xml:space="preserve"> Jr. on August 2, 2018. Judge </w:t>
      </w:r>
      <w:r>
        <w:rPr>
          <w:rFonts w:ascii="Calibri" w:eastAsia="Calibri" w:hAnsi="Calibri" w:cs="Calibri"/>
          <w:sz w:val="22"/>
          <w:szCs w:val="22"/>
        </w:rPr>
        <w:t>Sargus</w:t>
      </w:r>
      <w:r>
        <w:rPr>
          <w:rFonts w:ascii="Calibri" w:eastAsia="Calibri" w:hAnsi="Calibri" w:cs="Calibri"/>
          <w:sz w:val="22"/>
          <w:szCs w:val="22"/>
        </w:rPr>
        <w:t xml:space="preserve"> has prior MDL experience and is determined to keep the cases moving forward at a fast pace. </w:t>
      </w:r>
      <w:r>
        <w:rPr>
          <w:rFonts w:ascii="Calibri" w:eastAsia="Calibri" w:hAnsi="Calibri" w:cs="Calibri"/>
          <w:sz w:val="22"/>
          <w:szCs w:val="22"/>
        </w:rPr>
        <w:t>To ensure 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 litigation continues to</w:t>
      </w:r>
      <w:r>
        <w:rPr>
          <w:rFonts w:ascii="Calibri" w:eastAsia="Calibri" w:hAnsi="Calibri" w:cs="Calibri"/>
          <w:sz w:val="22"/>
          <w:szCs w:val="22"/>
        </w:rPr>
        <w:t xml:space="preserve"> progress</w:t>
      </w:r>
      <w:r>
        <w:rPr>
          <w:rFonts w:ascii="Calibri" w:eastAsia="Calibri" w:hAnsi="Calibri" w:cs="Calibri"/>
          <w:sz w:val="22"/>
          <w:szCs w:val="22"/>
        </w:rPr>
        <w:t xml:space="preserve">, Judge </w:t>
      </w:r>
      <w:r>
        <w:rPr>
          <w:rFonts w:ascii="Calibri" w:eastAsia="Calibri" w:hAnsi="Calibri" w:cs="Calibri"/>
          <w:sz w:val="22"/>
          <w:szCs w:val="22"/>
        </w:rPr>
        <w:t>Sargus</w:t>
      </w:r>
      <w:r>
        <w:rPr>
          <w:rFonts w:ascii="Calibri" w:eastAsia="Calibri" w:hAnsi="Calibri" w:cs="Calibri"/>
          <w:sz w:val="22"/>
          <w:szCs w:val="22"/>
        </w:rPr>
        <w:t xml:space="preserve"> holds monthly in-person case management conferences. 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</w:pPr>
      <w:r>
        <w:rPr>
          <w:rFonts w:ascii="Calibri" w:eastAsia="Calibri" w:hAnsi="Calibri" w:cs="Calibri"/>
          <w:b/>
          <w:bCs/>
        </w:rPr>
        <w:t xml:space="preserve">THE BIG PICTURE: </w:t>
      </w:r>
    </w:p>
    <w:p>
      <w:pPr>
        <w:numPr>
          <w:ilvl w:val="0"/>
          <w:numId w:val="1"/>
        </w:numPr>
        <w:pBdr>
          <w:left w:val="none" w:sz="0" w:space="7" w:color="auto"/>
        </w:pBdr>
        <w:spacing w:before="0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Bard utilized non-medical grade polypropylene to make its hernia mesh products.</w:t>
      </w:r>
    </w:p>
    <w:p>
      <w:pPr>
        <w:numPr>
          <w:ilvl w:val="0"/>
          <w:numId w:val="1"/>
        </w:numPr>
        <w:pBdr>
          <w:left w:val="none" w:sz="0" w:space="7" w:color="auto"/>
        </w:pBdr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Bard was instructed by the polypropylene manufacturer not to implant in humans.</w:t>
      </w:r>
    </w:p>
    <w:p>
      <w:pPr>
        <w:numPr>
          <w:ilvl w:val="0"/>
          <w:numId w:val="1"/>
        </w:numPr>
        <w:pBdr>
          <w:left w:val="none" w:sz="0" w:space="7" w:color="auto"/>
        </w:pBdr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olypropylene is subject to oxidation and degradation after implantation, leading to mesh failure and other complications.</w:t>
      </w:r>
    </w:p>
    <w:p>
      <w:pPr>
        <w:numPr>
          <w:ilvl w:val="0"/>
          <w:numId w:val="1"/>
        </w:numPr>
        <w:pBdr>
          <w:left w:val="none" w:sz="0" w:space="7" w:color="auto"/>
        </w:pBdr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Some Bard hernia mesh products involve ineffective adhesion barriers, which can lead to bowel obstructions and bowel resections.</w:t>
      </w:r>
    </w:p>
    <w:p>
      <w:pPr>
        <w:numPr>
          <w:ilvl w:val="0"/>
          <w:numId w:val="1"/>
        </w:numPr>
        <w:pBdr>
          <w:left w:val="none" w:sz="0" w:space="7" w:color="auto"/>
        </w:pBdr>
        <w:spacing w:after="0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Other Bard hernia mesh products involve a three-dimensional design, which increases the risk of mesh migration and deformation. 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</w:pPr>
      <w:r>
        <w:rPr>
          <w:rFonts w:ascii="Calibri" w:eastAsia="Calibri" w:hAnsi="Calibri" w:cs="Calibri"/>
          <w:b/>
          <w:bCs/>
        </w:rPr>
        <w:t xml:space="preserve">THE NUMBERS: </w:t>
      </w:r>
    </w:p>
    <w:p>
      <w:pPr>
        <w:numPr>
          <w:ilvl w:val="0"/>
          <w:numId w:val="2"/>
        </w:numPr>
        <w:pBdr>
          <w:left w:val="none" w:sz="0" w:space="7" w:color="auto"/>
        </w:pBdr>
        <w:spacing w:before="0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Hernia mesh is the most utilized medical device.</w:t>
      </w:r>
    </w:p>
    <w:p>
      <w:pPr>
        <w:numPr>
          <w:ilvl w:val="0"/>
          <w:numId w:val="2"/>
        </w:numPr>
        <w:pBdr>
          <w:left w:val="none" w:sz="0" w:space="7" w:color="auto"/>
        </w:pBdr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Bard makes up approximately 60% of the hernia mesh market. </w:t>
      </w:r>
    </w:p>
    <w:p>
      <w:pPr>
        <w:numPr>
          <w:ilvl w:val="0"/>
          <w:numId w:val="2"/>
        </w:numPr>
        <w:pBdr>
          <w:left w:val="none" w:sz="0" w:space="7" w:color="auto"/>
        </w:pBdr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Over</w:t>
      </w:r>
      <w:r>
        <w:rPr>
          <w:rFonts w:ascii="Calibri" w:eastAsia="Calibri" w:hAnsi="Calibri" w:cs="Calibri"/>
          <w:sz w:val="22"/>
          <w:szCs w:val="22"/>
        </w:rPr>
        <w:t xml:space="preserve"> 1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,000 </w:t>
      </w:r>
      <w:r>
        <w:rPr>
          <w:rFonts w:ascii="Calibri" w:eastAsia="Calibri" w:hAnsi="Calibri" w:cs="Calibri"/>
          <w:sz w:val="22"/>
          <w:szCs w:val="22"/>
        </w:rPr>
        <w:t>potential claims exist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>
      <w:pPr>
        <w:numPr>
          <w:ilvl w:val="0"/>
          <w:numId w:val="2"/>
        </w:numPr>
        <w:pBdr>
          <w:left w:val="none" w:sz="0" w:space="7" w:color="auto"/>
        </w:pBdr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Numerous i</w:t>
      </w:r>
      <w:r>
        <w:rPr>
          <w:rFonts w:ascii="Calibri" w:eastAsia="Calibri" w:hAnsi="Calibri" w:cs="Calibri"/>
          <w:sz w:val="22"/>
          <w:szCs w:val="22"/>
        </w:rPr>
        <w:t>njuries / mesh failures continue to happen every day.</w:t>
      </w:r>
    </w:p>
    <w:p>
      <w:pPr>
        <w:numPr>
          <w:ilvl w:val="0"/>
          <w:numId w:val="2"/>
        </w:numPr>
        <w:pBdr>
          <w:left w:val="none" w:sz="0" w:space="7" w:color="auto"/>
        </w:pBdr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Injuries include revision surgeries, bowel obstructions, bowel resections, and orchiectomies. </w:t>
      </w:r>
    </w:p>
    <w:p>
      <w:pPr>
        <w:numPr>
          <w:ilvl w:val="0"/>
          <w:numId w:val="2"/>
        </w:numPr>
        <w:pBdr>
          <w:left w:val="none" w:sz="0" w:space="7" w:color="auto"/>
        </w:pBdr>
        <w:spacing w:after="0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Injuries can range from outpatient procedures to weeks in the hospital. </w:t>
      </w:r>
    </w:p>
    <w:p>
      <w:pPr>
        <w:spacing w:before="0" w:after="0"/>
      </w:pPr>
    </w:p>
    <w:p>
      <w:pPr>
        <w:spacing w:before="0" w:after="0"/>
      </w:pPr>
      <w:r>
        <w:rPr>
          <w:rFonts w:ascii="Calibri" w:eastAsia="Calibri" w:hAnsi="Calibri" w:cs="Calibri"/>
          <w:b/>
          <w:bCs/>
        </w:rPr>
        <w:t>CURRENT LITIGATION/MDL STATUS:</w:t>
      </w:r>
      <w:r>
        <w:rPr>
          <w:rFonts w:ascii="Calibri" w:eastAsia="Calibri" w:hAnsi="Calibri" w:cs="Calibri"/>
          <w:b/>
          <w:bCs/>
        </w:rPr>
        <w:t xml:space="preserve">  </w:t>
      </w:r>
    </w:p>
    <w:p>
      <w:pPr>
        <w:numPr>
          <w:ilvl w:val="0"/>
          <w:numId w:val="3"/>
        </w:numPr>
        <w:pBdr>
          <w:left w:val="none" w:sz="0" w:space="7" w:color="auto"/>
        </w:pBdr>
        <w:spacing w:before="0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Involves all Bard </w:t>
      </w:r>
      <w:r>
        <w:rPr>
          <w:rFonts w:ascii="Calibri" w:eastAsia="Calibri" w:hAnsi="Calibri" w:cs="Calibri"/>
          <w:sz w:val="22"/>
          <w:szCs w:val="22"/>
        </w:rPr>
        <w:t>polypropylene-based</w:t>
      </w:r>
      <w:r>
        <w:rPr>
          <w:rFonts w:ascii="Calibri" w:eastAsia="Calibri" w:hAnsi="Calibri" w:cs="Calibri"/>
          <w:sz w:val="22"/>
          <w:szCs w:val="22"/>
        </w:rPr>
        <w:t xml:space="preserve"> hernia meshes </w:t>
      </w:r>
      <w:r>
        <w:rPr>
          <w:rFonts w:ascii="Calibri" w:eastAsia="Calibri" w:hAnsi="Calibri" w:cs="Calibri"/>
          <w:sz w:val="22"/>
          <w:szCs w:val="22"/>
        </w:rPr>
        <w:t>with the exception of</w:t>
      </w:r>
      <w:r>
        <w:rPr>
          <w:rFonts w:ascii="Calibri" w:eastAsia="Calibri" w:hAnsi="Calibri" w:cs="Calibri"/>
          <w:sz w:val="22"/>
          <w:szCs w:val="22"/>
        </w:rPr>
        <w:t xml:space="preserve"> Bard Soft.</w:t>
      </w:r>
    </w:p>
    <w:p>
      <w:pPr>
        <w:numPr>
          <w:ilvl w:val="0"/>
          <w:numId w:val="3"/>
        </w:numPr>
        <w:pBdr>
          <w:left w:val="none" w:sz="0" w:space="7" w:color="auto"/>
        </w:pBdr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front of Chief Judge </w:t>
      </w:r>
      <w:r>
        <w:rPr>
          <w:rFonts w:ascii="Calibri" w:eastAsia="Calibri" w:hAnsi="Calibri" w:cs="Calibri"/>
          <w:sz w:val="22"/>
          <w:szCs w:val="22"/>
        </w:rPr>
        <w:t>Sargus</w:t>
      </w:r>
      <w:r>
        <w:rPr>
          <w:rFonts w:ascii="Calibri" w:eastAsia="Calibri" w:hAnsi="Calibri" w:cs="Calibri"/>
          <w:sz w:val="22"/>
          <w:szCs w:val="22"/>
        </w:rPr>
        <w:t xml:space="preserve"> in SDOH, who previous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z w:val="22"/>
          <w:szCs w:val="22"/>
        </w:rPr>
        <w:t xml:space="preserve"> oversaw the Dupont C8 litigation.</w:t>
      </w:r>
    </w:p>
    <w:p>
      <w:pPr>
        <w:numPr>
          <w:ilvl w:val="0"/>
          <w:numId w:val="3"/>
        </w:numPr>
        <w:pBdr>
          <w:left w:val="none" w:sz="0" w:space="7" w:color="auto"/>
        </w:pBdr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Judge pushing MDL at a very fast pace. Trials set for early 2020. </w:t>
      </w:r>
    </w:p>
    <w:p>
      <w:pPr>
        <w:numPr>
          <w:ilvl w:val="0"/>
          <w:numId w:val="3"/>
        </w:numPr>
        <w:pBdr>
          <w:left w:val="none" w:sz="0" w:space="7" w:color="auto"/>
        </w:pBdr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Over 1,000 cases filed in the MDL, </w:t>
      </w:r>
      <w:r>
        <w:rPr>
          <w:rFonts w:ascii="Calibri" w:eastAsia="Calibri" w:hAnsi="Calibri" w:cs="Calibri"/>
          <w:sz w:val="22"/>
          <w:szCs w:val="22"/>
        </w:rPr>
        <w:t xml:space="preserve">currently averaging </w:t>
      </w:r>
      <w:r>
        <w:rPr>
          <w:rFonts w:ascii="Calibri" w:eastAsia="Calibri" w:hAnsi="Calibri" w:cs="Calibri"/>
          <w:sz w:val="22"/>
          <w:szCs w:val="22"/>
        </w:rPr>
        <w:t>250+ cases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filed every month.</w:t>
      </w:r>
    </w:p>
    <w:p>
      <w:pPr>
        <w:numPr>
          <w:ilvl w:val="0"/>
          <w:numId w:val="3"/>
        </w:numPr>
        <w:pBdr>
          <w:left w:val="none" w:sz="0" w:space="7" w:color="auto"/>
        </w:pBdr>
        <w:spacing w:after="0"/>
        <w:ind w:left="720" w:right="0" w:hanging="43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Daughter litigation in RI state court. 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</w:pPr>
      <w:r>
        <w:rPr>
          <w:rFonts w:ascii="Calibri" w:eastAsia="Calibri" w:hAnsi="Calibri" w:cs="Calibri"/>
          <w:b/>
          <w:bCs/>
        </w:rPr>
        <w:t xml:space="preserve">DEVELOPMENT OF LEADERSHIP: </w:t>
      </w:r>
      <w:r>
        <w:rPr>
          <w:rFonts w:ascii="Calibri" w:eastAsia="Calibri" w:hAnsi="Calibri" w:cs="Calibri"/>
          <w:sz w:val="22"/>
          <w:szCs w:val="22"/>
        </w:rPr>
        <w:t xml:space="preserve">MDL leadership is formed. Co-leads are Tim O’Brien of Levin </w:t>
      </w:r>
      <w:r>
        <w:rPr>
          <w:rFonts w:ascii="Calibri" w:eastAsia="Calibri" w:hAnsi="Calibri" w:cs="Calibri"/>
          <w:sz w:val="22"/>
          <w:szCs w:val="22"/>
        </w:rPr>
        <w:t>Papantonio</w:t>
      </w:r>
      <w:r>
        <w:rPr>
          <w:rFonts w:ascii="Calibri" w:eastAsia="Calibri" w:hAnsi="Calibri" w:cs="Calibri"/>
          <w:sz w:val="22"/>
          <w:szCs w:val="22"/>
        </w:rPr>
        <w:t xml:space="preserve">, and Kelsey Stokes of Fleming, Nolen and Jez. The rest of the plaintiffs executive committee includes Michael London of Douglas &amp; London, </w:t>
      </w:r>
      <w:r>
        <w:rPr>
          <w:rFonts w:ascii="Calibri" w:eastAsia="Calibri" w:hAnsi="Calibri" w:cs="Calibri"/>
          <w:sz w:val="22"/>
          <w:szCs w:val="22"/>
        </w:rPr>
        <w:t xml:space="preserve">Brett Vaughn of Hollis Law Firm, David Buchanan of Seeger Weiss, Troy Brenes of Brenes Law Group, and David Butler of Taft Law. 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</w:pPr>
      <w:r>
        <w:rPr>
          <w:rFonts w:ascii="Calibri" w:eastAsia="Calibri" w:hAnsi="Calibri" w:cs="Calibri"/>
          <w:b/>
          <w:bCs/>
        </w:rPr>
        <w:t xml:space="preserve">RULINGS OF NOTE: </w:t>
      </w:r>
      <w:r>
        <w:rPr>
          <w:rFonts w:ascii="Calibri" w:eastAsia="Calibri" w:hAnsi="Calibri" w:cs="Calibri"/>
          <w:sz w:val="22"/>
          <w:szCs w:val="22"/>
        </w:rPr>
        <w:t xml:space="preserve">A direct filing order was entered on September 7, 2018. </w:t>
      </w:r>
      <w:r>
        <w:rPr>
          <w:rFonts w:ascii="Calibri" w:eastAsia="Calibri" w:hAnsi="Calibri" w:cs="Calibri"/>
          <w:sz w:val="22"/>
          <w:szCs w:val="22"/>
        </w:rPr>
        <w:t>All case management orders and master forms can be accessed at BardMDL.com</w:t>
      </w:r>
      <w:r>
        <w:rPr>
          <w:rFonts w:ascii="Calibri" w:eastAsia="Calibri" w:hAnsi="Calibri" w:cs="Calibri"/>
          <w:sz w:val="22"/>
          <w:szCs w:val="22"/>
        </w:rPr>
        <w:t xml:space="preserve">. After extensive briefing, Judge </w:t>
      </w:r>
      <w:r>
        <w:rPr>
          <w:rFonts w:ascii="Calibri" w:eastAsia="Calibri" w:hAnsi="Calibri" w:cs="Calibri"/>
          <w:sz w:val="22"/>
          <w:szCs w:val="22"/>
        </w:rPr>
        <w:t>Sargus</w:t>
      </w:r>
      <w:r>
        <w:rPr>
          <w:rFonts w:ascii="Calibri" w:eastAsia="Calibri" w:hAnsi="Calibri" w:cs="Calibri"/>
          <w:sz w:val="22"/>
          <w:szCs w:val="22"/>
        </w:rPr>
        <w:t xml:space="preserve"> recently permitted foreign discovery to take place – this is a significant victory after the recent changes to Rule 26</w:t>
      </w:r>
      <w:r>
        <w:rPr>
          <w:rFonts w:ascii="Calibri" w:eastAsia="Calibri" w:hAnsi="Calibri" w:cs="Calibri"/>
          <w:sz w:val="22"/>
          <w:szCs w:val="22"/>
        </w:rPr>
        <w:t xml:space="preserve">, which added a proportionality analysis. 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</w:pPr>
      <w:r>
        <w:rPr>
          <w:rFonts w:ascii="Calibri" w:eastAsia="Calibri" w:hAnsi="Calibri" w:cs="Calibri"/>
          <w:b/>
          <w:bCs/>
        </w:rPr>
        <w:t>HOW TO GET INVOLVED:</w:t>
      </w: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Now is a great time to get involved in this litigation, as bellwethers are </w:t>
      </w:r>
      <w:r>
        <w:rPr>
          <w:rFonts w:ascii="Calibri" w:eastAsia="Calibri" w:hAnsi="Calibri" w:cs="Calibri"/>
          <w:sz w:val="22"/>
          <w:szCs w:val="22"/>
        </w:rPr>
        <w:t>closed,</w:t>
      </w:r>
      <w:r>
        <w:rPr>
          <w:rFonts w:ascii="Calibri" w:eastAsia="Calibri" w:hAnsi="Calibri" w:cs="Calibri"/>
          <w:sz w:val="22"/>
          <w:szCs w:val="22"/>
        </w:rPr>
        <w:t xml:space="preserve"> and</w:t>
      </w:r>
      <w:r>
        <w:rPr>
          <w:rFonts w:ascii="Calibri" w:eastAsia="Calibri" w:hAnsi="Calibri" w:cs="Calibri"/>
          <w:sz w:val="22"/>
          <w:szCs w:val="22"/>
        </w:rPr>
        <w:t xml:space="preserve"> hernia mesh failures continue to accrue every day.</w:t>
      </w:r>
    </w:p>
    <w:sectPr>
      <w:type w:val="nextPage"/>
      <w:pgSz w:w="12240" w:h="15840"/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