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8.9 -->
  <w:body>
    <w:p>
      <w:pPr>
        <w:spacing w:before="0" w:after="0"/>
        <w:rPr>
          <w:sz w:val="32"/>
          <w:szCs w:val="32"/>
        </w:rPr>
      </w:pPr>
      <w:r>
        <w:rPr>
          <w:rFonts w:ascii="Calibri" w:eastAsia="Calibri" w:hAnsi="Calibri" w:cs="Calibri"/>
          <w:sz w:val="32"/>
          <w:szCs w:val="32"/>
        </w:rPr>
        <w:t>MASTERS OF MASS TORT:</w:t>
      </w:r>
      <w:r>
        <w:rPr>
          <w:rFonts w:ascii="Calibri" w:eastAsia="Calibri" w:hAnsi="Calibri" w:cs="Calibri"/>
          <w:sz w:val="32"/>
          <w:szCs w:val="32"/>
        </w:rPr>
        <w:t xml:space="preserve"> TALCUM POWDER LITIGATION</w:t>
      </w:r>
      <w:r>
        <w:rPr>
          <w:rFonts w:ascii="Calibri" w:eastAsia="Calibri" w:hAnsi="Calibri" w:cs="Calibri"/>
          <w:sz w:val="32"/>
          <w:szCs w:val="32"/>
        </w:rPr>
        <w:t xml:space="preserve"> </w:t>
      </w:r>
      <w:r>
        <w:rPr>
          <w:rFonts w:ascii="Calibri" w:eastAsia="Calibri" w:hAnsi="Calibri" w:cs="Calibri"/>
          <w:sz w:val="32"/>
          <w:szCs w:val="32"/>
        </w:rPr>
        <w:t>SPEED SESSION</w:t>
      </w:r>
    </w:p>
    <w:p>
      <w:pPr>
        <w:spacing w:before="0" w:after="0"/>
      </w:pPr>
    </w:p>
    <w:p>
      <w:pPr>
        <w:spacing w:before="0" w:after="0"/>
      </w:pPr>
    </w:p>
    <w:p>
      <w:pPr>
        <w:spacing w:before="0" w:after="0"/>
      </w:pPr>
      <w:r>
        <w:rPr>
          <w:rFonts w:ascii="Calibri" w:eastAsia="Calibri" w:hAnsi="Calibri" w:cs="Calibri"/>
          <w:b/>
          <w:bCs/>
        </w:rPr>
        <w:t>NAME OF LITIGATION:</w:t>
      </w:r>
      <w:r>
        <w:rPr>
          <w:rFonts w:ascii="Calibri" w:eastAsia="Calibri" w:hAnsi="Calibri" w:cs="Calibri"/>
          <w:b/>
          <w:bCs/>
        </w:rPr>
        <w:t xml:space="preserve"> TALCUM POWDER LITIGATION</w:t>
      </w:r>
    </w:p>
    <w:p>
      <w:pPr>
        <w:spacing w:before="0" w:after="0"/>
      </w:pPr>
    </w:p>
    <w:p>
      <w:pPr>
        <w:spacing w:before="0" w:after="0"/>
      </w:pPr>
    </w:p>
    <w:p>
      <w:pPr>
        <w:spacing w:before="0" w:after="0"/>
      </w:pPr>
      <w:r>
        <w:rPr>
          <w:rFonts w:ascii="Calibri" w:eastAsia="Calibri" w:hAnsi="Calibri" w:cs="Calibri"/>
          <w:b/>
          <w:bCs/>
        </w:rPr>
        <w:t>A BR</w:t>
      </w:r>
      <w:r>
        <w:rPr>
          <w:rFonts w:ascii="Calibri" w:eastAsia="Calibri" w:hAnsi="Calibri" w:cs="Calibri"/>
          <w:b/>
          <w:bCs/>
        </w:rPr>
        <w:t>I</w:t>
      </w:r>
      <w:r>
        <w:rPr>
          <w:rFonts w:ascii="Calibri" w:eastAsia="Calibri" w:hAnsi="Calibri" w:cs="Calibri"/>
          <w:b/>
          <w:bCs/>
        </w:rPr>
        <w:t>E</w:t>
      </w:r>
      <w:r>
        <w:rPr>
          <w:rFonts w:ascii="Calibri" w:eastAsia="Calibri" w:hAnsi="Calibri" w:cs="Calibri"/>
          <w:b/>
          <w:bCs/>
        </w:rPr>
        <w:t>F SUMMARY</w:t>
      </w:r>
      <w:r>
        <w:rPr>
          <w:rFonts w:ascii="Calibri" w:eastAsia="Calibri" w:hAnsi="Calibri" w:cs="Calibri"/>
          <w:b/>
          <w:bCs/>
        </w:rPr>
        <w:t>:</w:t>
      </w:r>
      <w:r>
        <w:rPr>
          <w:rFonts w:ascii="Calibri" w:eastAsia="Calibri" w:hAnsi="Calibri" w:cs="Calibri"/>
          <w:b/>
          <w:bCs/>
        </w:rPr>
        <w:t xml:space="preserve">  </w:t>
      </w:r>
      <w:r>
        <w:rPr>
          <w:rFonts w:ascii="Calibri" w:eastAsia="Calibri" w:hAnsi="Calibri" w:cs="Calibri"/>
          <w:i/>
          <w:iCs/>
          <w:sz w:val="22"/>
          <w:szCs w:val="22"/>
        </w:rPr>
        <w:t>(</w:t>
      </w:r>
      <w:r>
        <w:rPr>
          <w:rFonts w:ascii="Calibri" w:eastAsia="Calibri" w:hAnsi="Calibri" w:cs="Calibri"/>
          <w:i/>
          <w:iCs/>
          <w:sz w:val="22"/>
          <w:szCs w:val="22"/>
        </w:rPr>
        <w:t>Please describe the overall</w:t>
      </w:r>
      <w:r>
        <w:rPr>
          <w:rFonts w:ascii="Calibri" w:eastAsia="Calibri" w:hAnsi="Calibri" w:cs="Calibri"/>
          <w:i/>
          <w:iCs/>
          <w:sz w:val="22"/>
          <w:szCs w:val="22"/>
        </w:rPr>
        <w:t xml:space="preserve">  </w:t>
      </w:r>
      <w:r>
        <w:rPr>
          <w:rFonts w:ascii="Calibri" w:eastAsia="Calibri" w:hAnsi="Calibri" w:cs="Calibri"/>
          <w:i/>
          <w:iCs/>
          <w:sz w:val="22"/>
          <w:szCs w:val="22"/>
        </w:rPr>
        <w:t xml:space="preserve">litigation </w:t>
      </w:r>
      <w:r>
        <w:rPr>
          <w:rFonts w:ascii="Calibri" w:eastAsia="Calibri" w:hAnsi="Calibri" w:cs="Calibri"/>
          <w:i/>
          <w:iCs/>
          <w:sz w:val="22"/>
          <w:szCs w:val="22"/>
        </w:rPr>
        <w:t>with bullet points including drug/device’s asserted harm(s), signature injuries, etc.</w:t>
      </w:r>
      <w:r>
        <w:rPr>
          <w:rFonts w:ascii="Calibri" w:eastAsia="Calibri" w:hAnsi="Calibri" w:cs="Calibri"/>
          <w:i/>
          <w:iCs/>
          <w:sz w:val="22"/>
          <w:szCs w:val="22"/>
        </w:rPr>
        <w:t>)</w:t>
      </w:r>
    </w:p>
    <w:p>
      <w:pPr>
        <w:spacing w:before="0" w:after="0"/>
        <w:rPr>
          <w:sz w:val="22"/>
          <w:szCs w:val="22"/>
        </w:rPr>
      </w:pPr>
    </w:p>
    <w:p>
      <w:pPr>
        <w:numPr>
          <w:ilvl w:val="0"/>
          <w:numId w:val="1"/>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Use of talcum powder in the perineal area can lead to ovarian cancer</w:t>
      </w:r>
    </w:p>
    <w:p>
      <w:pPr>
        <w:numPr>
          <w:ilvl w:val="0"/>
          <w:numId w:val="1"/>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Products at issue:</w:t>
      </w:r>
      <w:r>
        <w:rPr>
          <w:rFonts w:ascii="Calibri" w:eastAsia="Calibri" w:hAnsi="Calibri" w:cs="Calibri"/>
          <w:i/>
          <w:iCs/>
          <w:sz w:val="22"/>
          <w:szCs w:val="22"/>
        </w:rPr>
        <w:t xml:space="preserve">  </w:t>
      </w:r>
      <w:r>
        <w:rPr>
          <w:rFonts w:ascii="Calibri" w:eastAsia="Calibri" w:hAnsi="Calibri" w:cs="Calibri"/>
          <w:i/>
          <w:iCs/>
          <w:sz w:val="22"/>
          <w:szCs w:val="22"/>
        </w:rPr>
        <w:t>Johnson’s baby powder &amp; Shower to Shower</w:t>
      </w:r>
    </w:p>
    <w:p>
      <w:pPr>
        <w:numPr>
          <w:ilvl w:val="0"/>
          <w:numId w:val="1"/>
        </w:numPr>
        <w:pBdr>
          <w:left w:val="none" w:sz="0" w:space="7" w:color="auto"/>
        </w:pBdr>
        <w:spacing w:after="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Case theories have evolved – asbestos has been detected in batches of J&amp;J talc resulting in ovarian cancer and mesothelioma injury</w:t>
      </w:r>
    </w:p>
    <w:p>
      <w:pPr>
        <w:spacing w:before="0" w:after="0"/>
        <w:rPr>
          <w:sz w:val="22"/>
          <w:szCs w:val="22"/>
        </w:rPr>
      </w:pPr>
    </w:p>
    <w:p>
      <w:pPr>
        <w:spacing w:before="0" w:after="0"/>
      </w:pPr>
      <w:r>
        <w:rPr>
          <w:rFonts w:ascii="Calibri" w:eastAsia="Calibri" w:hAnsi="Calibri" w:cs="Calibri"/>
          <w:b/>
          <w:bCs/>
        </w:rPr>
        <w:t>THE BIG PICTURE:</w:t>
      </w:r>
      <w:r>
        <w:rPr>
          <w:rFonts w:ascii="Calibri" w:eastAsia="Calibri" w:hAnsi="Calibri" w:cs="Calibri"/>
          <w:b/>
          <w:bCs/>
        </w:rPr>
        <w:t xml:space="preserve">  </w:t>
      </w:r>
      <w:r>
        <w:rPr>
          <w:rFonts w:ascii="Calibri" w:eastAsia="Calibri" w:hAnsi="Calibri" w:cs="Calibri"/>
          <w:i/>
          <w:iCs/>
          <w:sz w:val="22"/>
          <w:szCs w:val="22"/>
        </w:rPr>
        <w:t>(Please include 5-10 bullet points describing the case against the defendant.)</w:t>
      </w:r>
    </w:p>
    <w:p>
      <w:pPr>
        <w:spacing w:before="0" w:after="0"/>
        <w:rPr>
          <w:sz w:val="22"/>
          <w:szCs w:val="22"/>
        </w:rPr>
      </w:pPr>
    </w:p>
    <w:p>
      <w:pPr>
        <w:numPr>
          <w:ilvl w:val="0"/>
          <w:numId w:val="2"/>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Decades of research shows that talcum powder increases the risk of ovarian cancer by 30%-60%</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LAW REQUIREMENT – “The label of a cosmetic product shall bear a warning statement whenever necessary or appropriate to prevent a health hazard that may be associated with the product.”</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 xml:space="preserve">Johnson &amp; Johnson powder products have tested positive for the presence of asbestos fibers, known to cause both ovarian cancer and mesothelioma injuries. Powder products also contain trace amounts of heavy metals known to have carcinogenic properties. The composite of substances present in J&amp;J’s baby powder work in concert to cause cancer. </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Johnson &amp; Johnson violates the law by not providing an ovarian cancer warning on their talcum powder products.</w:t>
      </w:r>
      <w:r>
        <w:rPr>
          <w:rFonts w:ascii="Calibri" w:eastAsia="Calibri" w:hAnsi="Calibri" w:cs="Calibri"/>
          <w:i/>
          <w:iCs/>
          <w:sz w:val="22"/>
          <w:szCs w:val="22"/>
        </w:rPr>
        <w:t xml:space="preserve"> Generic talc products have started warning. </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 xml:space="preserve">Johnson &amp; Johnson has continued to deny the presence of asbestos in its products, despite rigging the testing in a manner that would not detect it. The company continues to lie to the public about the dangerous propensities of talc, despite decades of knowledge to the contrary. </w:t>
      </w:r>
    </w:p>
    <w:p>
      <w:pPr>
        <w:numPr>
          <w:ilvl w:val="0"/>
          <w:numId w:val="2"/>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Cornstarch is the safer alternative</w:t>
      </w:r>
    </w:p>
    <w:p>
      <w:pPr>
        <w:numPr>
          <w:ilvl w:val="0"/>
          <w:numId w:val="2"/>
        </w:numPr>
        <w:pBdr>
          <w:left w:val="none" w:sz="0" w:space="7" w:color="auto"/>
        </w:pBdr>
        <w:spacing w:after="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Imerys</w:t>
      </w:r>
      <w:r>
        <w:rPr>
          <w:rFonts w:ascii="Calibri" w:eastAsia="Calibri" w:hAnsi="Calibri" w:cs="Calibri"/>
          <w:i/>
          <w:iCs/>
          <w:sz w:val="22"/>
          <w:szCs w:val="22"/>
        </w:rPr>
        <w:t xml:space="preserve"> Talc America, the exclusive supplier of talc to Johnson &amp; Johnson,</w:t>
      </w:r>
      <w:r>
        <w:rPr>
          <w:rFonts w:ascii="Calibri" w:eastAsia="Calibri" w:hAnsi="Calibri" w:cs="Calibri"/>
          <w:i/>
          <w:iCs/>
          <w:sz w:val="22"/>
          <w:szCs w:val="22"/>
        </w:rPr>
        <w:t xml:space="preserve"> has recently filed bankruptcy resulting in a stay</w:t>
      </w:r>
      <w:r>
        <w:rPr>
          <w:rFonts w:ascii="Calibri" w:eastAsia="Calibri" w:hAnsi="Calibri" w:cs="Calibri"/>
          <w:i/>
          <w:iCs/>
          <w:sz w:val="22"/>
          <w:szCs w:val="22"/>
        </w:rPr>
        <w:t xml:space="preserve"> as to that defendant</w:t>
      </w:r>
      <w:r>
        <w:rPr>
          <w:rFonts w:ascii="Calibri" w:eastAsia="Calibri" w:hAnsi="Calibri" w:cs="Calibri"/>
          <w:i/>
          <w:iCs/>
          <w:sz w:val="22"/>
          <w:szCs w:val="22"/>
        </w:rPr>
        <w:t>. Activi</w:t>
      </w:r>
      <w:r>
        <w:rPr>
          <w:rFonts w:ascii="Calibri" w:eastAsia="Calibri" w:hAnsi="Calibri" w:cs="Calibri"/>
          <w:i/>
          <w:iCs/>
          <w:sz w:val="22"/>
          <w:szCs w:val="22"/>
        </w:rPr>
        <w:t xml:space="preserve">ty still permissible against J&amp;J in the MDL and possibly other </w:t>
      </w:r>
      <w:r>
        <w:rPr>
          <w:rFonts w:ascii="Calibri" w:eastAsia="Calibri" w:hAnsi="Calibri" w:cs="Calibri"/>
          <w:i/>
          <w:iCs/>
          <w:sz w:val="22"/>
          <w:szCs w:val="22"/>
        </w:rPr>
        <w:t>jurisdictions</w:t>
      </w:r>
      <w:r>
        <w:rPr>
          <w:rFonts w:ascii="Calibri" w:eastAsia="Calibri" w:hAnsi="Calibri" w:cs="Calibri"/>
          <w:i/>
          <w:iCs/>
          <w:sz w:val="22"/>
          <w:szCs w:val="22"/>
        </w:rPr>
        <w:t xml:space="preserve">. </w:t>
      </w:r>
    </w:p>
    <w:p>
      <w:pPr>
        <w:spacing w:before="0" w:after="0"/>
        <w:rPr>
          <w:sz w:val="22"/>
          <w:szCs w:val="22"/>
        </w:rPr>
      </w:pPr>
    </w:p>
    <w:p>
      <w:pPr>
        <w:spacing w:before="0" w:after="0"/>
      </w:pPr>
      <w:r>
        <w:rPr>
          <w:rFonts w:ascii="Calibri" w:eastAsia="Calibri" w:hAnsi="Calibri" w:cs="Calibri"/>
          <w:b/>
          <w:bCs/>
        </w:rPr>
        <w:t>THE NUMBERS:</w:t>
      </w:r>
      <w:r>
        <w:rPr>
          <w:rFonts w:ascii="Calibri" w:eastAsia="Calibri" w:hAnsi="Calibri" w:cs="Calibri"/>
          <w:b/>
          <w:bCs/>
        </w:rPr>
        <w:t xml:space="preserve">  </w:t>
      </w:r>
      <w:r>
        <w:rPr>
          <w:rFonts w:ascii="Calibri" w:eastAsia="Calibri" w:hAnsi="Calibri" w:cs="Calibri"/>
          <w:i/>
          <w:iCs/>
          <w:sz w:val="22"/>
          <w:szCs w:val="22"/>
        </w:rPr>
        <w:t xml:space="preserve">(Please include 5-10 bullet points </w:t>
      </w:r>
      <w:r>
        <w:rPr>
          <w:rFonts w:ascii="Calibri" w:eastAsia="Calibri" w:hAnsi="Calibri" w:cs="Calibri"/>
          <w:i/>
          <w:iCs/>
          <w:sz w:val="22"/>
          <w:szCs w:val="22"/>
        </w:rPr>
        <w:t xml:space="preserve">outlining the </w:t>
      </w:r>
      <w:r>
        <w:rPr>
          <w:rFonts w:ascii="Calibri" w:eastAsia="Calibri" w:hAnsi="Calibri" w:cs="Calibri"/>
          <w:i/>
          <w:iCs/>
          <w:sz w:val="22"/>
          <w:szCs w:val="22"/>
        </w:rPr>
        <w:t xml:space="preserve">current estimation of number of affected claimants, </w:t>
      </w:r>
      <w:r>
        <w:rPr>
          <w:rFonts w:ascii="Calibri" w:eastAsia="Calibri" w:hAnsi="Calibri" w:cs="Calibri"/>
          <w:i/>
          <w:iCs/>
          <w:sz w:val="22"/>
          <w:szCs w:val="22"/>
        </w:rPr>
        <w:t>expected number of cases in the US, approximate cost of injuries, etc</w:t>
      </w:r>
      <w:r>
        <w:rPr>
          <w:rFonts w:ascii="Calibri" w:eastAsia="Calibri" w:hAnsi="Calibri" w:cs="Calibri"/>
          <w:i/>
          <w:iCs/>
          <w:sz w:val="22"/>
          <w:szCs w:val="22"/>
        </w:rPr>
        <w:t>.)</w:t>
      </w:r>
    </w:p>
    <w:p>
      <w:pPr>
        <w:spacing w:before="0" w:after="0"/>
        <w:ind w:left="720"/>
        <w:rPr>
          <w:sz w:val="22"/>
          <w:szCs w:val="22"/>
        </w:rPr>
      </w:pPr>
    </w:p>
    <w:p>
      <w:pPr>
        <w:numPr>
          <w:ilvl w:val="0"/>
          <w:numId w:val="3"/>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22,440 new cases of ovarian cancer</w:t>
      </w:r>
      <w:r>
        <w:rPr>
          <w:rFonts w:ascii="Calibri" w:eastAsia="Calibri" w:hAnsi="Calibri" w:cs="Calibri"/>
          <w:i/>
          <w:iCs/>
          <w:sz w:val="22"/>
          <w:szCs w:val="22"/>
        </w:rPr>
        <w:t xml:space="preserve"> in U.S. each year</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14, 080 estimated deaths in 2017</w:t>
      </w:r>
      <w:r>
        <w:rPr>
          <w:rFonts w:ascii="Calibri" w:eastAsia="Calibri" w:hAnsi="Calibri" w:cs="Calibri"/>
          <w:i/>
          <w:iCs/>
          <w:sz w:val="22"/>
          <w:szCs w:val="22"/>
        </w:rPr>
        <w:t xml:space="preserve"> in U.S. each year</w:t>
      </w:r>
    </w:p>
    <w:p>
      <w:pPr>
        <w:numPr>
          <w:ilvl w:val="0"/>
          <w:numId w:val="3"/>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10</w:t>
      </w:r>
      <w:r>
        <w:rPr>
          <w:rFonts w:ascii="Calibri" w:eastAsia="Calibri" w:hAnsi="Calibri" w:cs="Calibri"/>
          <w:i/>
          <w:iCs/>
          <w:sz w:val="22"/>
          <w:szCs w:val="22"/>
        </w:rPr>
        <w:t xml:space="preserve"> - 29</w:t>
      </w:r>
      <w:r>
        <w:rPr>
          <w:rFonts w:ascii="Calibri" w:eastAsia="Calibri" w:hAnsi="Calibri" w:cs="Calibri"/>
          <w:i/>
          <w:iCs/>
          <w:sz w:val="22"/>
          <w:szCs w:val="22"/>
        </w:rPr>
        <w:t xml:space="preserve">% </w:t>
      </w:r>
      <w:r>
        <w:rPr>
          <w:rFonts w:ascii="Calibri" w:eastAsia="Calibri" w:hAnsi="Calibri" w:cs="Calibri"/>
          <w:i/>
          <w:iCs/>
          <w:sz w:val="22"/>
          <w:szCs w:val="22"/>
        </w:rPr>
        <w:t>attributed</w:t>
      </w:r>
      <w:r>
        <w:rPr>
          <w:rFonts w:ascii="Calibri" w:eastAsia="Calibri" w:hAnsi="Calibri" w:cs="Calibri"/>
          <w:i/>
          <w:iCs/>
          <w:sz w:val="22"/>
          <w:szCs w:val="22"/>
        </w:rPr>
        <w:t xml:space="preserve"> to </w:t>
      </w:r>
      <w:r>
        <w:rPr>
          <w:rFonts w:ascii="Calibri" w:eastAsia="Calibri" w:hAnsi="Calibri" w:cs="Calibri"/>
          <w:i/>
          <w:iCs/>
          <w:sz w:val="22"/>
          <w:szCs w:val="22"/>
        </w:rPr>
        <w:t>talcum powder</w:t>
      </w:r>
      <w:r>
        <w:rPr>
          <w:rFonts w:ascii="Calibri" w:eastAsia="Calibri" w:hAnsi="Calibri" w:cs="Calibri"/>
          <w:i/>
          <w:iCs/>
          <w:sz w:val="22"/>
          <w:szCs w:val="22"/>
        </w:rPr>
        <w:t>, per studies</w:t>
      </w:r>
    </w:p>
    <w:p>
      <w:pPr>
        <w:numPr>
          <w:ilvl w:val="0"/>
          <w:numId w:val="3"/>
        </w:numPr>
        <w:pBdr>
          <w:left w:val="none" w:sz="0" w:space="7" w:color="auto"/>
        </w:pBdr>
        <w:spacing w:after="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Talcum powder been on market for over 100 years</w:t>
      </w:r>
    </w:p>
    <w:p>
      <w:pPr>
        <w:spacing w:before="0" w:after="0"/>
      </w:pPr>
    </w:p>
    <w:p>
      <w:pPr>
        <w:spacing w:before="0" w:after="0"/>
      </w:pPr>
      <w:r>
        <w:rPr>
          <w:rFonts w:ascii="Calibri" w:eastAsia="Calibri" w:hAnsi="Calibri" w:cs="Calibri"/>
          <w:b/>
          <w:bCs/>
        </w:rPr>
        <w:t>CURRENT LITIGATION</w:t>
      </w:r>
      <w:r>
        <w:rPr>
          <w:rFonts w:ascii="Calibri" w:eastAsia="Calibri" w:hAnsi="Calibri" w:cs="Calibri"/>
          <w:b/>
          <w:bCs/>
        </w:rPr>
        <w:t xml:space="preserve"> </w:t>
      </w:r>
      <w:r>
        <w:rPr>
          <w:rFonts w:ascii="Calibri" w:eastAsia="Calibri" w:hAnsi="Calibri" w:cs="Calibri"/>
          <w:b/>
          <w:bCs/>
        </w:rPr>
        <w:t>STATUS:</w:t>
      </w:r>
      <w:r>
        <w:rPr>
          <w:rFonts w:ascii="Calibri" w:eastAsia="Calibri" w:hAnsi="Calibri" w:cs="Calibri"/>
          <w:b/>
          <w:bCs/>
        </w:rPr>
        <w:t xml:space="preserve">  </w:t>
      </w:r>
      <w:r>
        <w:rPr>
          <w:rFonts w:ascii="Calibri" w:eastAsia="Calibri" w:hAnsi="Calibri" w:cs="Calibri"/>
          <w:i/>
          <w:iCs/>
          <w:sz w:val="22"/>
          <w:szCs w:val="22"/>
        </w:rPr>
        <w:t xml:space="preserve">(Please include 3-5 bullet points explaining where the litigation currently stands, where cases have been filed, </w:t>
      </w:r>
      <w:r>
        <w:rPr>
          <w:rFonts w:ascii="Calibri" w:eastAsia="Calibri" w:hAnsi="Calibri" w:cs="Calibri"/>
          <w:i/>
          <w:iCs/>
          <w:sz w:val="22"/>
          <w:szCs w:val="22"/>
        </w:rPr>
        <w:t xml:space="preserve">whether cases have been consolidated in state or federal court, any bellwethers and their outcomes, </w:t>
      </w:r>
      <w:r>
        <w:rPr>
          <w:rFonts w:ascii="Calibri" w:eastAsia="Calibri" w:hAnsi="Calibri" w:cs="Calibri"/>
          <w:i/>
          <w:iCs/>
          <w:sz w:val="22"/>
          <w:szCs w:val="22"/>
        </w:rPr>
        <w:t>etc.)</w:t>
      </w:r>
    </w:p>
    <w:p>
      <w:pPr>
        <w:spacing w:before="0" w:after="0"/>
        <w:rPr>
          <w:sz w:val="22"/>
          <w:szCs w:val="22"/>
        </w:rPr>
      </w:pPr>
    </w:p>
    <w:p>
      <w:pPr>
        <w:numPr>
          <w:ilvl w:val="0"/>
          <w:numId w:val="4"/>
        </w:numPr>
        <w:pBdr>
          <w:left w:val="none" w:sz="0" w:space="7" w:color="auto"/>
        </w:pBdr>
        <w:spacing w:before="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Jurisdictions of filed cases: St. Louis, MO; California, New Jersey and Delaware</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 xml:space="preserve">Verdicts: St. Louis, $72mil, $55mil, $70mil, $110mil; </w:t>
      </w:r>
      <w:r>
        <w:rPr>
          <w:rFonts w:ascii="Calibri" w:eastAsia="Calibri" w:hAnsi="Calibri" w:cs="Calibri"/>
          <w:i/>
          <w:iCs/>
          <w:sz w:val="22"/>
          <w:szCs w:val="22"/>
        </w:rPr>
        <w:t xml:space="preserve">$4.5billion - </w:t>
      </w:r>
      <w:r>
        <w:rPr>
          <w:rFonts w:ascii="Calibri" w:eastAsia="Calibri" w:hAnsi="Calibri" w:cs="Calibri"/>
          <w:i/>
          <w:iCs/>
          <w:sz w:val="22"/>
          <w:szCs w:val="22"/>
        </w:rPr>
        <w:t>California, $417mil</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Slemp</w:t>
      </w:r>
      <w:r>
        <w:rPr>
          <w:rFonts w:ascii="Calibri" w:eastAsia="Calibri" w:hAnsi="Calibri" w:cs="Calibri"/>
          <w:i/>
          <w:iCs/>
          <w:sz w:val="22"/>
          <w:szCs w:val="22"/>
        </w:rPr>
        <w:t xml:space="preserve"> (St. Louis) – Post trial order affirms verdict &amp; finds personal jurisdiction</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Blaes</w:t>
      </w:r>
      <w:r>
        <w:rPr>
          <w:rFonts w:ascii="Calibri" w:eastAsia="Calibri" w:hAnsi="Calibri" w:cs="Calibri"/>
          <w:i/>
          <w:iCs/>
          <w:sz w:val="22"/>
          <w:szCs w:val="22"/>
        </w:rPr>
        <w:t xml:space="preserve"> (St. Louis) – Recent MOSC ruling on venue and due process grounds severs out of state plaintiffs and remands MO plaintiff to St. Louis County. Narrow decision. Currently evaluating the proper course of action to challenge. Dissents are instructive that law was incorrectly applied. </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Fox (St. Louis) – decision by the MO Court of Appeals, vacated</w:t>
      </w:r>
      <w:r>
        <w:rPr>
          <w:rFonts w:ascii="Calibri" w:eastAsia="Calibri" w:hAnsi="Calibri" w:cs="Calibri"/>
          <w:i/>
          <w:iCs/>
          <w:sz w:val="22"/>
          <w:szCs w:val="22"/>
        </w:rPr>
        <w:t xml:space="preserve"> – appeal pending</w:t>
      </w:r>
      <w:r>
        <w:rPr>
          <w:rFonts w:ascii="Calibri" w:eastAsia="Calibri" w:hAnsi="Calibri" w:cs="Calibri"/>
          <w:i/>
          <w:iCs/>
          <w:sz w:val="22"/>
          <w:szCs w:val="22"/>
        </w:rPr>
        <w:t>; re-filed in MDL</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New Jersey – Kemp dismissals, appeal pending</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Cases pending in JCCP in California</w:t>
      </w:r>
      <w:r>
        <w:rPr>
          <w:rFonts w:ascii="Calibri" w:eastAsia="Calibri" w:hAnsi="Calibri" w:cs="Calibri"/>
          <w:i/>
          <w:iCs/>
          <w:sz w:val="22"/>
          <w:szCs w:val="22"/>
        </w:rPr>
        <w:t xml:space="preserve"> - $417mil verdict on appeal</w:t>
      </w:r>
    </w:p>
    <w:p>
      <w:pPr>
        <w:numPr>
          <w:ilvl w:val="0"/>
          <w:numId w:val="4"/>
        </w:numPr>
        <w:pBdr>
          <w:left w:val="none" w:sz="0" w:space="7" w:color="auto"/>
        </w:pBdr>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Fulton Co. GA – trial setting July 2019</w:t>
      </w:r>
    </w:p>
    <w:p>
      <w:pPr>
        <w:numPr>
          <w:ilvl w:val="0"/>
          <w:numId w:val="4"/>
        </w:numPr>
        <w:pBdr>
          <w:left w:val="none" w:sz="0" w:space="7" w:color="auto"/>
        </w:pBdr>
        <w:spacing w:after="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Other state court venues: FL, IL</w:t>
      </w:r>
    </w:p>
    <w:p>
      <w:pPr>
        <w:spacing w:before="0" w:after="0"/>
        <w:rPr>
          <w:sz w:val="22"/>
          <w:szCs w:val="22"/>
        </w:rPr>
      </w:pPr>
    </w:p>
    <w:p>
      <w:pPr>
        <w:spacing w:before="0" w:after="0"/>
        <w:rPr>
          <w:sz w:val="22"/>
          <w:szCs w:val="22"/>
        </w:rPr>
      </w:pPr>
    </w:p>
    <w:p>
      <w:pPr>
        <w:spacing w:before="0" w:after="0"/>
      </w:pPr>
      <w:r>
        <w:rPr>
          <w:rFonts w:ascii="Calibri" w:eastAsia="Calibri" w:hAnsi="Calibri" w:cs="Calibri"/>
          <w:b/>
          <w:bCs/>
        </w:rPr>
        <w:t>RULINGS OF NOTE:</w:t>
      </w:r>
      <w:r>
        <w:rPr>
          <w:rFonts w:ascii="Calibri" w:eastAsia="Calibri" w:hAnsi="Calibri" w:cs="Calibri"/>
          <w:b/>
          <w:bCs/>
        </w:rPr>
        <w:t xml:space="preserve">  </w:t>
      </w:r>
      <w:r>
        <w:rPr>
          <w:rFonts w:ascii="Calibri" w:eastAsia="Calibri" w:hAnsi="Calibri" w:cs="Calibri"/>
          <w:i/>
          <w:iCs/>
          <w:sz w:val="22"/>
          <w:szCs w:val="22"/>
        </w:rPr>
        <w:t>(Are there any rulings of note, specific orders, etc. that are important to know?)</w:t>
      </w:r>
    </w:p>
    <w:p>
      <w:pPr>
        <w:spacing w:before="0" w:after="0"/>
      </w:pPr>
    </w:p>
    <w:p>
      <w:pPr>
        <w:numPr>
          <w:ilvl w:val="0"/>
          <w:numId w:val="5"/>
        </w:numPr>
        <w:pBdr>
          <w:left w:val="none" w:sz="0" w:space="7" w:color="auto"/>
        </w:pBdr>
        <w:spacing w:before="0"/>
        <w:ind w:left="720" w:right="0" w:hanging="436"/>
        <w:jc w:val="left"/>
        <w:rPr>
          <w:rFonts w:ascii="Times New Roman" w:eastAsia="Times New Roman" w:hAnsi="Times New Roman" w:cs="Times New Roman"/>
        </w:rPr>
      </w:pPr>
      <w:r>
        <w:rPr>
          <w:rFonts w:ascii="Calibri" w:eastAsia="Calibri" w:hAnsi="Calibri" w:cs="Calibri"/>
          <w:i/>
          <w:iCs/>
        </w:rPr>
        <w:t xml:space="preserve">MOSC decision – </w:t>
      </w:r>
      <w:r>
        <w:rPr>
          <w:rFonts w:ascii="Calibri" w:eastAsia="Calibri" w:hAnsi="Calibri" w:cs="Calibri"/>
          <w:i/>
          <w:iCs/>
        </w:rPr>
        <w:t>Blaes</w:t>
      </w:r>
      <w:r>
        <w:rPr>
          <w:rFonts w:ascii="Calibri" w:eastAsia="Calibri" w:hAnsi="Calibri" w:cs="Calibri"/>
          <w:i/>
          <w:iCs/>
        </w:rPr>
        <w:t xml:space="preserve"> v. J&amp;J et al</w:t>
      </w:r>
    </w:p>
    <w:p>
      <w:pPr>
        <w:numPr>
          <w:ilvl w:val="0"/>
          <w:numId w:val="5"/>
        </w:numPr>
        <w:pBdr>
          <w:left w:val="none" w:sz="0" w:space="7" w:color="auto"/>
        </w:pBdr>
        <w:ind w:left="720" w:right="0" w:hanging="436"/>
        <w:jc w:val="left"/>
        <w:rPr>
          <w:rFonts w:ascii="Times New Roman" w:eastAsia="Times New Roman" w:hAnsi="Times New Roman" w:cs="Times New Roman"/>
        </w:rPr>
      </w:pPr>
      <w:r>
        <w:rPr>
          <w:rFonts w:ascii="Calibri" w:eastAsia="Calibri" w:hAnsi="Calibri" w:cs="Calibri"/>
          <w:i/>
          <w:iCs/>
        </w:rPr>
        <w:t>Imerys</w:t>
      </w:r>
      <w:r>
        <w:rPr>
          <w:rFonts w:ascii="Calibri" w:eastAsia="Calibri" w:hAnsi="Calibri" w:cs="Calibri"/>
          <w:i/>
          <w:iCs/>
        </w:rPr>
        <w:t xml:space="preserve"> Bankruptcy</w:t>
      </w:r>
    </w:p>
    <w:p>
      <w:pPr>
        <w:numPr>
          <w:ilvl w:val="0"/>
          <w:numId w:val="5"/>
        </w:numPr>
        <w:pBdr>
          <w:left w:val="none" w:sz="0" w:space="7" w:color="auto"/>
        </w:pBdr>
        <w:ind w:left="720" w:right="0" w:hanging="436"/>
        <w:jc w:val="left"/>
        <w:rPr>
          <w:rFonts w:ascii="Times New Roman" w:eastAsia="Times New Roman" w:hAnsi="Times New Roman" w:cs="Times New Roman"/>
        </w:rPr>
      </w:pPr>
      <w:r>
        <w:rPr>
          <w:rFonts w:ascii="Calibri" w:eastAsia="Calibri" w:hAnsi="Calibri" w:cs="Calibri"/>
          <w:i/>
          <w:iCs/>
        </w:rPr>
        <w:t xml:space="preserve">CEO Alex </w:t>
      </w:r>
      <w:r>
        <w:rPr>
          <w:rFonts w:ascii="Calibri" w:eastAsia="Calibri" w:hAnsi="Calibri" w:cs="Calibri"/>
          <w:i/>
          <w:iCs/>
        </w:rPr>
        <w:t>Gorsky</w:t>
      </w:r>
      <w:r>
        <w:rPr>
          <w:rFonts w:ascii="Calibri" w:eastAsia="Calibri" w:hAnsi="Calibri" w:cs="Calibri"/>
          <w:i/>
          <w:iCs/>
        </w:rPr>
        <w:t xml:space="preserve"> ordered to be deposed</w:t>
      </w:r>
    </w:p>
    <w:p>
      <w:pPr>
        <w:numPr>
          <w:ilvl w:val="0"/>
          <w:numId w:val="5"/>
        </w:numPr>
        <w:pBdr>
          <w:left w:val="none" w:sz="0" w:space="7" w:color="auto"/>
        </w:pBdr>
        <w:spacing w:after="0"/>
        <w:ind w:left="720" w:right="0" w:hanging="436"/>
        <w:jc w:val="left"/>
        <w:rPr>
          <w:rFonts w:ascii="Times New Roman" w:eastAsia="Times New Roman" w:hAnsi="Times New Roman" w:cs="Times New Roman"/>
        </w:rPr>
      </w:pPr>
      <w:r>
        <w:rPr>
          <w:rFonts w:ascii="Calibri" w:eastAsia="Calibri" w:hAnsi="Calibri" w:cs="Calibri"/>
          <w:i/>
          <w:iCs/>
        </w:rPr>
        <w:t xml:space="preserve">US Senator demands information from J&amp;J CEO regarding the safety of </w:t>
      </w:r>
      <w:r>
        <w:rPr>
          <w:rFonts w:ascii="Calibri" w:eastAsia="Calibri" w:hAnsi="Calibri" w:cs="Calibri"/>
          <w:i/>
          <w:iCs/>
        </w:rPr>
        <w:t>talc and the allegations that its products have tested positive for asbestos despite the company’s assertions to the contrary</w:t>
      </w:r>
    </w:p>
    <w:p>
      <w:pPr>
        <w:spacing w:before="0" w:after="0"/>
        <w:ind w:left="720"/>
      </w:pPr>
    </w:p>
    <w:p>
      <w:pPr>
        <w:spacing w:before="0" w:after="0"/>
      </w:pPr>
      <w:r>
        <w:rPr>
          <w:rFonts w:ascii="Calibri" w:eastAsia="Calibri" w:hAnsi="Calibri" w:cs="Calibri"/>
          <w:b/>
          <w:bCs/>
        </w:rPr>
        <w:t>LEADERSHIP:</w:t>
      </w:r>
      <w:r>
        <w:rPr>
          <w:rFonts w:ascii="Calibri" w:eastAsia="Calibri" w:hAnsi="Calibri" w:cs="Calibri"/>
          <w:b/>
          <w:bCs/>
        </w:rPr>
        <w:t xml:space="preserve">  </w:t>
      </w:r>
      <w:r>
        <w:rPr>
          <w:rFonts w:ascii="Calibri" w:eastAsia="Calibri" w:hAnsi="Calibri" w:cs="Calibri"/>
          <w:i/>
          <w:iCs/>
          <w:sz w:val="22"/>
          <w:szCs w:val="22"/>
        </w:rPr>
        <w:t xml:space="preserve">(Please </w:t>
      </w:r>
      <w:r>
        <w:rPr>
          <w:rFonts w:ascii="Calibri" w:eastAsia="Calibri" w:hAnsi="Calibri" w:cs="Calibri"/>
          <w:i/>
          <w:iCs/>
          <w:sz w:val="22"/>
          <w:szCs w:val="22"/>
        </w:rPr>
        <w:t xml:space="preserve">identify PEC/PSC members if a consolidated action; if not yet consolidated please provide insight into the informal leadership </w:t>
      </w:r>
      <w:r>
        <w:rPr>
          <w:rFonts w:ascii="Calibri" w:eastAsia="Calibri" w:hAnsi="Calibri" w:cs="Calibri"/>
          <w:i/>
          <w:iCs/>
          <w:sz w:val="22"/>
          <w:szCs w:val="22"/>
        </w:rPr>
        <w:t>thusfar</w:t>
      </w:r>
      <w:r>
        <w:rPr>
          <w:rFonts w:ascii="Calibri" w:eastAsia="Calibri" w:hAnsi="Calibri" w:cs="Calibri"/>
          <w:i/>
          <w:iCs/>
          <w:sz w:val="22"/>
          <w:szCs w:val="22"/>
        </w:rPr>
        <w:t>)</w:t>
      </w:r>
    </w:p>
    <w:p>
      <w:pPr>
        <w:spacing w:before="0" w:after="0"/>
        <w:rPr>
          <w:sz w:val="22"/>
          <w:szCs w:val="22"/>
        </w:rPr>
      </w:pPr>
    </w:p>
    <w:p>
      <w:pPr>
        <w:numPr>
          <w:ilvl w:val="0"/>
          <w:numId w:val="6"/>
        </w:numPr>
        <w:pBdr>
          <w:left w:val="none" w:sz="0" w:space="7" w:color="auto"/>
        </w:pBdr>
        <w:spacing w:before="0" w:after="0"/>
        <w:ind w:left="720" w:right="0" w:hanging="430"/>
        <w:jc w:val="left"/>
        <w:rPr>
          <w:rFonts w:ascii="Times New Roman" w:eastAsia="Times New Roman" w:hAnsi="Times New Roman" w:cs="Times New Roman"/>
          <w:sz w:val="22"/>
          <w:szCs w:val="22"/>
        </w:rPr>
      </w:pPr>
      <w:r>
        <w:rPr>
          <w:rFonts w:ascii="Calibri" w:eastAsia="Calibri" w:hAnsi="Calibri" w:cs="Calibri"/>
          <w:i/>
          <w:iCs/>
          <w:sz w:val="22"/>
          <w:szCs w:val="22"/>
        </w:rPr>
        <w:t>MDL – Leigh O’Dell and Michelle Parfitt co-chairs</w:t>
      </w:r>
    </w:p>
    <w:p>
      <w:pPr>
        <w:spacing w:before="0" w:after="0"/>
        <w:rPr>
          <w:sz w:val="22"/>
          <w:szCs w:val="22"/>
        </w:rPr>
      </w:pPr>
    </w:p>
    <w:p>
      <w:pPr>
        <w:spacing w:before="0" w:after="0"/>
      </w:pPr>
      <w:r>
        <w:rPr>
          <w:rFonts w:ascii="Calibri" w:eastAsia="Calibri" w:hAnsi="Calibri" w:cs="Calibri"/>
          <w:b/>
          <w:bCs/>
        </w:rPr>
        <w:t>HOW TO GET INVOLVED:</w:t>
      </w:r>
      <w:r>
        <w:rPr>
          <w:rFonts w:ascii="Calibri" w:eastAsia="Calibri" w:hAnsi="Calibri" w:cs="Calibri"/>
          <w:b/>
          <w:bCs/>
        </w:rPr>
        <w:t xml:space="preserve">  </w:t>
      </w:r>
      <w:r>
        <w:rPr>
          <w:rFonts w:ascii="Calibri" w:eastAsia="Calibri" w:hAnsi="Calibri" w:cs="Calibri"/>
          <w:i/>
          <w:iCs/>
          <w:sz w:val="22"/>
          <w:szCs w:val="22"/>
        </w:rPr>
        <w:t>(Is now a good time for a new firm to get involved? Etc.)</w:t>
      </w:r>
    </w:p>
    <w:p>
      <w:pPr>
        <w:spacing w:before="0" w:after="0"/>
        <w:rPr>
          <w:sz w:val="22"/>
          <w:szCs w:val="22"/>
        </w:rPr>
      </w:pPr>
    </w:p>
    <w:p>
      <w:pPr>
        <w:numPr>
          <w:ilvl w:val="0"/>
          <w:numId w:val="7"/>
        </w:numPr>
        <w:pBdr>
          <w:left w:val="none" w:sz="0" w:space="7" w:color="auto"/>
        </w:pBdr>
        <w:spacing w:before="0"/>
        <w:ind w:left="720" w:right="0" w:hanging="430"/>
        <w:jc w:val="left"/>
        <w:rPr>
          <w:rFonts w:ascii="Times New Roman" w:eastAsia="Times New Roman" w:hAnsi="Times New Roman" w:cs="Times New Roman"/>
          <w:sz w:val="22"/>
          <w:szCs w:val="22"/>
        </w:rPr>
      </w:pPr>
      <w:hyperlink r:id="rId4" w:history="1">
        <w:r>
          <w:rPr>
            <w:rFonts w:ascii="Calibri" w:eastAsia="Calibri" w:hAnsi="Calibri" w:cs="Calibri"/>
            <w:color w:val="0563C1"/>
            <w:sz w:val="22"/>
            <w:szCs w:val="22"/>
            <w:u w:val="single" w:color="0563C1"/>
          </w:rPr>
          <w:t>Ted.Meadows@beasleyallen.com</w:t>
        </w:r>
      </w:hyperlink>
    </w:p>
    <w:p>
      <w:pPr>
        <w:numPr>
          <w:ilvl w:val="0"/>
          <w:numId w:val="7"/>
        </w:numPr>
        <w:pBdr>
          <w:left w:val="none" w:sz="0" w:space="7" w:color="auto"/>
        </w:pBdr>
        <w:ind w:left="720" w:right="0" w:hanging="430"/>
        <w:jc w:val="left"/>
        <w:rPr>
          <w:rFonts w:ascii="Times New Roman" w:eastAsia="Times New Roman" w:hAnsi="Times New Roman" w:cs="Times New Roman"/>
          <w:sz w:val="22"/>
          <w:szCs w:val="22"/>
        </w:rPr>
      </w:pPr>
      <w:hyperlink r:id="rId5" w:history="1">
        <w:r>
          <w:rPr>
            <w:rFonts w:ascii="Calibri" w:eastAsia="Calibri" w:hAnsi="Calibri" w:cs="Calibri"/>
            <w:color w:val="0563C1"/>
            <w:sz w:val="22"/>
            <w:szCs w:val="22"/>
            <w:u w:val="single" w:color="0563C1"/>
          </w:rPr>
          <w:t>Danielle.Mason@beasleyallen.com</w:t>
        </w:r>
      </w:hyperlink>
    </w:p>
    <w:p>
      <w:pPr>
        <w:numPr>
          <w:ilvl w:val="0"/>
          <w:numId w:val="7"/>
        </w:numPr>
        <w:pBdr>
          <w:left w:val="none" w:sz="0" w:space="7" w:color="auto"/>
        </w:pBdr>
        <w:ind w:left="720" w:right="0" w:hanging="430"/>
        <w:jc w:val="left"/>
        <w:rPr>
          <w:rFonts w:ascii="Times New Roman" w:eastAsia="Times New Roman" w:hAnsi="Times New Roman" w:cs="Times New Roman"/>
          <w:sz w:val="22"/>
          <w:szCs w:val="22"/>
        </w:rPr>
      </w:pPr>
      <w:hyperlink r:id="rId6" w:history="1">
        <w:r>
          <w:rPr>
            <w:rFonts w:ascii="Calibri" w:eastAsia="Calibri" w:hAnsi="Calibri" w:cs="Calibri"/>
            <w:color w:val="0563C1"/>
            <w:sz w:val="22"/>
            <w:szCs w:val="22"/>
            <w:u w:val="single" w:color="0563C1"/>
          </w:rPr>
          <w:t>tporter@portermalouf.com</w:t>
        </w:r>
      </w:hyperlink>
    </w:p>
    <w:p>
      <w:pPr>
        <w:numPr>
          <w:ilvl w:val="0"/>
          <w:numId w:val="7"/>
        </w:numPr>
        <w:pBdr>
          <w:left w:val="none" w:sz="0" w:space="7" w:color="auto"/>
        </w:pBdr>
        <w:spacing w:after="0"/>
        <w:ind w:left="720" w:right="0" w:hanging="430"/>
        <w:jc w:val="left"/>
        <w:rPr>
          <w:rFonts w:ascii="Times New Roman" w:eastAsia="Times New Roman" w:hAnsi="Times New Roman" w:cs="Times New Roman"/>
          <w:sz w:val="22"/>
          <w:szCs w:val="22"/>
        </w:rPr>
      </w:pPr>
      <w:hyperlink r:id="rId7" w:history="1">
        <w:r>
          <w:rPr>
            <w:rFonts w:ascii="Calibri" w:eastAsia="Calibri" w:hAnsi="Calibri" w:cs="Calibri"/>
            <w:color w:val="0563C1"/>
            <w:sz w:val="22"/>
            <w:szCs w:val="22"/>
            <w:u w:val="single" w:color="0563C1"/>
          </w:rPr>
          <w:t>Rachel.Lanier@LanierLawFirm.com</w:t>
        </w:r>
      </w:hyperlink>
    </w:p>
    <w:p>
      <w:pPr>
        <w:spacing w:before="0" w:after="0"/>
        <w:ind w:left="720"/>
        <w:rPr>
          <w:sz w:val="22"/>
          <w:szCs w:val="22"/>
        </w:rPr>
      </w:pPr>
    </w:p>
    <w:p>
      <w:pPr>
        <w:spacing w:before="0" w:after="0"/>
        <w:rPr>
          <w:sz w:val="22"/>
          <w:szCs w:val="22"/>
        </w:rPr>
      </w:pPr>
    </w:p>
    <w:p>
      <w:pPr>
        <w:spacing w:before="0" w:after="0"/>
        <w:rPr>
          <w:sz w:val="22"/>
          <w:szCs w:val="22"/>
        </w:rPr>
      </w:pPr>
    </w:p>
    <w:p>
      <w:pPr>
        <w:spacing w:before="0" w:after="0"/>
        <w:rPr>
          <w:sz w:val="22"/>
          <w:szCs w:val="22"/>
        </w:rPr>
      </w:pPr>
    </w:p>
    <w:p>
      <w:pPr>
        <w:spacing w:before="0" w:after="0"/>
      </w:pPr>
    </w:p>
    <w:p>
      <w:pPr>
        <w:spacing w:before="0" w:after="0"/>
      </w:pPr>
    </w:p>
    <w:sectPr>
      <w:type w:val="nextPage"/>
      <w:pgSz w:w="12240" w:h="15840"/>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b w:val="0"/>
        <w:bCs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Ted.Meadows@beasleyallen.com" TargetMode="External" /><Relationship Id="rId5" Type="http://schemas.openxmlformats.org/officeDocument/2006/relationships/hyperlink" Target="mailto:Danielle.Mason@beasleyallen.com" TargetMode="External" /><Relationship Id="rId6" Type="http://schemas.openxmlformats.org/officeDocument/2006/relationships/hyperlink" Target="mailto:tporter@portermalouf.com" TargetMode="External" /><Relationship Id="rId7" Type="http://schemas.openxmlformats.org/officeDocument/2006/relationships/hyperlink" Target="mailto:Rachel.Lanier@LanierLawFirm.com" TargetMode="External" /><Relationship Id="rId8" Type="http://schemas.openxmlformats.org/officeDocument/2006/relationships/numbering" Target="numbering.xml" /><Relationship Id="rId9"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